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A2B" w:rsidRDefault="00185A2B" w:rsidP="00185A2B">
      <w:pPr>
        <w:pStyle w:val="Balk3"/>
        <w:shd w:val="clear" w:color="auto" w:fill="FFFFFF"/>
        <w:spacing w:before="0" w:beforeAutospacing="0" w:after="0" w:afterAutospacing="0"/>
        <w:rPr>
          <w:rFonts w:ascii="Arial" w:hAnsi="Arial" w:cs="Arial"/>
          <w:color w:val="985735"/>
          <w:sz w:val="22"/>
          <w:szCs w:val="22"/>
        </w:rPr>
      </w:pPr>
      <w:r>
        <w:rPr>
          <w:rFonts w:ascii="Arial" w:hAnsi="Arial" w:cs="Arial"/>
          <w:color w:val="985735"/>
          <w:sz w:val="22"/>
          <w:szCs w:val="22"/>
        </w:rPr>
        <w:t>Abstract</w:t>
      </w:r>
    </w:p>
    <w:p w:rsidR="00185A2B" w:rsidRDefault="00185A2B" w:rsidP="00185A2B">
      <w:pPr>
        <w:pStyle w:val="Balk4"/>
        <w:shd w:val="clear" w:color="auto" w:fill="FFFFFF"/>
        <w:spacing w:before="0" w:line="369" w:lineRule="atLeast"/>
        <w:ind w:right="60"/>
        <w:rPr>
          <w:rFonts w:ascii="Arial" w:hAnsi="Arial" w:cs="Arial"/>
          <w:caps/>
          <w:color w:val="000000"/>
          <w:sz w:val="20"/>
          <w:szCs w:val="20"/>
        </w:rPr>
      </w:pPr>
      <w:r>
        <w:rPr>
          <w:rFonts w:ascii="Arial" w:hAnsi="Arial" w:cs="Arial"/>
          <w:caps/>
          <w:color w:val="000000"/>
          <w:sz w:val="20"/>
          <w:szCs w:val="20"/>
        </w:rPr>
        <w:t>OBJECTIVE:</w:t>
      </w:r>
    </w:p>
    <w:p w:rsidR="00185A2B" w:rsidRDefault="00185A2B" w:rsidP="00185A2B">
      <w:pPr>
        <w:pStyle w:val="NormalWeb"/>
        <w:shd w:val="clear" w:color="auto" w:fill="FFFFFF"/>
        <w:spacing w:before="0" w:beforeAutospacing="0" w:after="120" w:afterAutospacing="0" w:line="369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The estimation of time of death or the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determination</w:t>
      </w:r>
      <w:r>
        <w:rPr>
          <w:rFonts w:ascii="Arial" w:hAnsi="Arial" w:cs="Arial"/>
          <w:color w:val="000000"/>
          <w:sz w:val="21"/>
          <w:szCs w:val="21"/>
        </w:rPr>
        <w:t> of the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postmortem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interval</w:t>
      </w:r>
      <w:r>
        <w:rPr>
          <w:rFonts w:ascii="Arial" w:hAnsi="Arial" w:cs="Arial"/>
          <w:color w:val="000000"/>
          <w:sz w:val="21"/>
          <w:szCs w:val="21"/>
        </w:rPr>
        <w:t> (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>) is one of the most important issues in forensic medicine and odontology. However,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evaluation</w:t>
      </w:r>
      <w:r>
        <w:rPr>
          <w:rFonts w:ascii="Arial" w:hAnsi="Arial" w:cs="Arial"/>
          <w:color w:val="000000"/>
          <w:sz w:val="21"/>
          <w:szCs w:val="21"/>
        </w:rPr>
        <w:t> of bone and dental hard tissues in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> could be challenging due to the lack of objective methods with high accuracy. In this respect,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micro-CT</w:t>
      </w:r>
      <w:r>
        <w:rPr>
          <w:rFonts w:ascii="Arial" w:hAnsi="Arial" w:cs="Arial"/>
          <w:color w:val="000000"/>
          <w:sz w:val="21"/>
          <w:szCs w:val="21"/>
        </w:rPr>
        <w:t> 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analysis which has not been used for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postmortem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evaluation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would be beneficial in evaluating hard tissues such as bones and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teeth</w:t>
      </w:r>
      <w:r>
        <w:rPr>
          <w:rFonts w:ascii="Arial" w:hAnsi="Arial" w:cs="Arial"/>
          <w:color w:val="000000"/>
          <w:sz w:val="21"/>
          <w:szCs w:val="21"/>
        </w:rPr>
        <w:t>. Therefore, the aim of the present study was to determine the alterations in the hard dental tissue,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mineral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density</w:t>
      </w:r>
      <w:r>
        <w:rPr>
          <w:rFonts w:ascii="Arial" w:hAnsi="Arial" w:cs="Arial"/>
          <w:color w:val="000000"/>
          <w:sz w:val="21"/>
          <w:szCs w:val="21"/>
        </w:rPr>
        <w:t> of enamel, and the surface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abrasion</w:t>
      </w:r>
      <w:r>
        <w:rPr>
          <w:rFonts w:ascii="Arial" w:hAnsi="Arial" w:cs="Arial"/>
          <w:color w:val="000000"/>
          <w:sz w:val="21"/>
          <w:szCs w:val="21"/>
        </w:rPr>
        <w:t> of hard dental tissues of rats in the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> period with a relatively novel method,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micro-CT</w:t>
      </w:r>
      <w:r>
        <w:rPr>
          <w:rFonts w:ascii="Arial" w:hAnsi="Arial" w:cs="Arial"/>
          <w:color w:val="000000"/>
          <w:sz w:val="21"/>
          <w:szCs w:val="21"/>
        </w:rPr>
        <w:t>.</w:t>
      </w:r>
    </w:p>
    <w:p w:rsidR="00185A2B" w:rsidRDefault="00185A2B" w:rsidP="00185A2B">
      <w:pPr>
        <w:pStyle w:val="Balk4"/>
        <w:shd w:val="clear" w:color="auto" w:fill="FFFFFF"/>
        <w:spacing w:before="0" w:line="369" w:lineRule="atLeast"/>
        <w:ind w:right="60"/>
        <w:rPr>
          <w:rFonts w:ascii="Arial" w:hAnsi="Arial" w:cs="Arial"/>
          <w:caps/>
          <w:color w:val="000000"/>
          <w:sz w:val="20"/>
          <w:szCs w:val="20"/>
        </w:rPr>
      </w:pPr>
      <w:r>
        <w:rPr>
          <w:rFonts w:ascii="Arial" w:hAnsi="Arial" w:cs="Arial"/>
          <w:caps/>
          <w:color w:val="000000"/>
          <w:sz w:val="20"/>
          <w:szCs w:val="20"/>
        </w:rPr>
        <w:t>METHODS:</w:t>
      </w:r>
    </w:p>
    <w:p w:rsidR="00185A2B" w:rsidRDefault="00185A2B" w:rsidP="00185A2B">
      <w:pPr>
        <w:pStyle w:val="NormalWeb"/>
        <w:shd w:val="clear" w:color="auto" w:fill="FFFFFF"/>
        <w:spacing w:before="0" w:beforeAutospacing="0" w:after="120" w:afterAutospacing="0" w:line="369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The present study included 60 female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Wistar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rats which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were divided into six study groups. The rats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were sacrificed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at the baseline and were left into nature putrefaction process. The study groups were created based on the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 xml:space="preserve"> period as week-0, week-1, week-2, week-4, week-8, and week-12, which included 10 rats in each group. All hemi-mandibles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were collected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in the determined timelines and the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micro-CT</w:t>
      </w:r>
      <w:r>
        <w:rPr>
          <w:rFonts w:ascii="Arial" w:hAnsi="Arial" w:cs="Arial"/>
          <w:color w:val="000000"/>
          <w:sz w:val="21"/>
          <w:szCs w:val="21"/>
        </w:rPr>
        <w:t> analysis was carried out on each group.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Mineral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density</w:t>
      </w:r>
      <w:r>
        <w:rPr>
          <w:rFonts w:ascii="Arial" w:hAnsi="Arial" w:cs="Arial"/>
          <w:color w:val="000000"/>
          <w:sz w:val="21"/>
          <w:szCs w:val="21"/>
        </w:rPr>
        <w:t> of enamel and the surface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abrasion</w:t>
      </w:r>
      <w:r>
        <w:rPr>
          <w:rFonts w:ascii="Arial" w:hAnsi="Arial" w:cs="Arial"/>
          <w:color w:val="000000"/>
          <w:sz w:val="21"/>
          <w:szCs w:val="21"/>
        </w:rPr>
        <w:t> of hard dental tissues were determined.</w:t>
      </w:r>
    </w:p>
    <w:p w:rsidR="00185A2B" w:rsidRDefault="00185A2B" w:rsidP="00185A2B">
      <w:pPr>
        <w:pStyle w:val="Balk4"/>
        <w:shd w:val="clear" w:color="auto" w:fill="FFFFFF"/>
        <w:spacing w:before="0" w:line="369" w:lineRule="atLeast"/>
        <w:ind w:right="60"/>
        <w:rPr>
          <w:rFonts w:ascii="Arial" w:hAnsi="Arial" w:cs="Arial"/>
          <w:caps/>
          <w:color w:val="000000"/>
          <w:sz w:val="20"/>
          <w:szCs w:val="20"/>
        </w:rPr>
      </w:pPr>
      <w:r>
        <w:rPr>
          <w:rFonts w:ascii="Arial" w:hAnsi="Arial" w:cs="Arial"/>
          <w:caps/>
          <w:color w:val="000000"/>
          <w:sz w:val="20"/>
          <w:szCs w:val="20"/>
        </w:rPr>
        <w:t>RESULTS:</w:t>
      </w:r>
    </w:p>
    <w:p w:rsidR="00185A2B" w:rsidRDefault="00185A2B" w:rsidP="00185A2B">
      <w:pPr>
        <w:pStyle w:val="NormalWeb"/>
        <w:shd w:val="clear" w:color="auto" w:fill="FFFFFF"/>
        <w:spacing w:before="0" w:beforeAutospacing="0" w:after="120" w:afterAutospacing="0" w:line="369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The enamel and cement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thickness</w:t>
      </w:r>
      <w:r>
        <w:rPr>
          <w:rFonts w:ascii="Arial" w:hAnsi="Arial" w:cs="Arial"/>
          <w:color w:val="000000"/>
          <w:sz w:val="21"/>
          <w:szCs w:val="21"/>
        </w:rPr>
        <w:t> remained the same in the examined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> periods.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Mineral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density</w:t>
      </w:r>
      <w:r>
        <w:rPr>
          <w:rFonts w:ascii="Arial" w:hAnsi="Arial" w:cs="Arial"/>
          <w:color w:val="000000"/>
          <w:sz w:val="21"/>
          <w:szCs w:val="21"/>
        </w:rPr>
        <w:t> of the enamel tissues were also similar until the 8th week but the decrease was significant at 12th week (2.313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gHAp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cm</w:t>
      </w:r>
      <w:r>
        <w:rPr>
          <w:rFonts w:ascii="Arial" w:hAnsi="Arial" w:cs="Arial"/>
          <w:color w:val="000000"/>
          <w:sz w:val="18"/>
          <w:szCs w:val="18"/>
          <w:vertAlign w:val="superscript"/>
        </w:rPr>
        <w:t>3</w:t>
      </w:r>
      <w:r>
        <w:rPr>
          <w:rFonts w:ascii="Arial" w:hAnsi="Arial" w:cs="Arial"/>
          <w:color w:val="000000"/>
          <w:sz w:val="21"/>
          <w:szCs w:val="21"/>
        </w:rPr>
        <w:t>). Surface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abrasion</w:t>
      </w:r>
      <w:r>
        <w:rPr>
          <w:rFonts w:ascii="Arial" w:hAnsi="Arial" w:cs="Arial"/>
          <w:color w:val="000000"/>
          <w:sz w:val="21"/>
          <w:szCs w:val="21"/>
        </w:rPr>
        <w:t> of the dental tissues on weeks 4, 8, and 12 were 0.006, 0.024, and 0.024 mm, respectively.</w:t>
      </w:r>
    </w:p>
    <w:p w:rsidR="00185A2B" w:rsidRDefault="00185A2B" w:rsidP="00185A2B">
      <w:pPr>
        <w:pStyle w:val="Balk4"/>
        <w:shd w:val="clear" w:color="auto" w:fill="FFFFFF"/>
        <w:spacing w:before="0" w:line="369" w:lineRule="atLeast"/>
        <w:ind w:right="60"/>
        <w:rPr>
          <w:rFonts w:ascii="Arial" w:hAnsi="Arial" w:cs="Arial"/>
          <w:caps/>
          <w:color w:val="000000"/>
          <w:sz w:val="20"/>
          <w:szCs w:val="20"/>
        </w:rPr>
      </w:pPr>
      <w:r>
        <w:rPr>
          <w:rFonts w:ascii="Arial" w:hAnsi="Arial" w:cs="Arial"/>
          <w:caps/>
          <w:color w:val="000000"/>
          <w:sz w:val="20"/>
          <w:szCs w:val="20"/>
        </w:rPr>
        <w:t>CONCLUSION:</w:t>
      </w:r>
    </w:p>
    <w:p w:rsidR="00185A2B" w:rsidRDefault="00185A2B" w:rsidP="00185A2B">
      <w:pPr>
        <w:pStyle w:val="NormalWeb"/>
        <w:shd w:val="clear" w:color="auto" w:fill="FFFFFF"/>
        <w:spacing w:before="0" w:beforeAutospacing="0" w:after="120" w:afterAutospacing="0" w:line="369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The present study indicated that surface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abrasion</w:t>
      </w:r>
      <w:r>
        <w:rPr>
          <w:rFonts w:ascii="Arial" w:hAnsi="Arial" w:cs="Arial"/>
          <w:color w:val="000000"/>
          <w:sz w:val="21"/>
          <w:szCs w:val="21"/>
        </w:rPr>
        <w:t> and enamel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mineral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density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evaluation</w:t>
      </w:r>
      <w:r>
        <w:rPr>
          <w:rFonts w:ascii="Arial" w:hAnsi="Arial" w:cs="Arial"/>
          <w:color w:val="000000"/>
          <w:sz w:val="21"/>
          <w:szCs w:val="21"/>
        </w:rPr>
        <w:t> via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micro-CT</w:t>
      </w:r>
      <w:r>
        <w:rPr>
          <w:rFonts w:ascii="Arial" w:hAnsi="Arial" w:cs="Arial"/>
          <w:color w:val="000000"/>
          <w:sz w:val="21"/>
          <w:szCs w:val="21"/>
        </w:rPr>
        <w:t> 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can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be considered as objective and precise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parameters</w:t>
      </w:r>
      <w:r>
        <w:rPr>
          <w:rFonts w:ascii="Arial" w:hAnsi="Arial" w:cs="Arial"/>
          <w:color w:val="000000"/>
          <w:sz w:val="21"/>
          <w:szCs w:val="21"/>
        </w:rPr>
        <w:t> in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PMI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highlight"/>
          <w:rFonts w:ascii="Arial" w:hAnsi="Arial" w:cs="Arial"/>
          <w:color w:val="000000"/>
          <w:sz w:val="21"/>
          <w:szCs w:val="21"/>
        </w:rPr>
        <w:t>evaluation</w:t>
      </w:r>
      <w:r>
        <w:rPr>
          <w:rFonts w:ascii="Arial" w:hAnsi="Arial" w:cs="Arial"/>
          <w:color w:val="000000"/>
          <w:sz w:val="21"/>
          <w:szCs w:val="21"/>
        </w:rPr>
        <w:t> in forensic medicine and odontology.</w:t>
      </w:r>
    </w:p>
    <w:p w:rsidR="00185A2B" w:rsidRDefault="00185A2B" w:rsidP="00185A2B">
      <w:pPr>
        <w:pStyle w:val="Balk4"/>
        <w:shd w:val="clear" w:color="auto" w:fill="FFFFFF"/>
        <w:spacing w:before="0"/>
        <w:ind w:right="84"/>
        <w:rPr>
          <w:rFonts w:ascii="Arial" w:hAnsi="Arial" w:cs="Arial"/>
          <w:caps/>
          <w:color w:val="000000"/>
        </w:rPr>
      </w:pPr>
      <w:r>
        <w:rPr>
          <w:rFonts w:ascii="Arial" w:hAnsi="Arial" w:cs="Arial"/>
          <w:caps/>
          <w:color w:val="000000"/>
        </w:rPr>
        <w:t>KEYWORDS:</w:t>
      </w:r>
    </w:p>
    <w:p w:rsidR="00185A2B" w:rsidRDefault="00185A2B" w:rsidP="00185A2B">
      <w:pPr>
        <w:pStyle w:val="NormalWeb"/>
        <w:shd w:val="clear" w:color="auto" w:fill="FFFFFF"/>
        <w:spacing w:before="12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Cement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abrasion</w:t>
      </w:r>
      <w:r>
        <w:rPr>
          <w:rFonts w:ascii="Arial" w:hAnsi="Arial" w:cs="Arial"/>
          <w:color w:val="000000"/>
          <w:sz w:val="22"/>
          <w:szCs w:val="22"/>
        </w:rPr>
        <w:t>; Enamel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abrasion</w:t>
      </w:r>
      <w:r>
        <w:rPr>
          <w:rFonts w:ascii="Arial" w:hAnsi="Arial" w:cs="Arial"/>
          <w:color w:val="000000"/>
          <w:sz w:val="22"/>
          <w:szCs w:val="22"/>
        </w:rPr>
        <w:t>;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Enamel-cement</w:t>
      </w:r>
      <w:r>
        <w:rPr>
          <w:rFonts w:ascii="Arial" w:hAnsi="Arial" w:cs="Arial"/>
          <w:color w:val="000000"/>
          <w:sz w:val="22"/>
          <w:szCs w:val="22"/>
        </w:rPr>
        <w:t>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thickness</w:t>
      </w:r>
      <w:r>
        <w:rPr>
          <w:rFonts w:ascii="Arial" w:hAnsi="Arial" w:cs="Arial"/>
          <w:color w:val="000000"/>
          <w:sz w:val="22"/>
          <w:szCs w:val="22"/>
        </w:rPr>
        <w:t>;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Micro CT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;</w:t>
      </w:r>
      <w:proofErr w:type="gramEnd"/>
      <w:r>
        <w:rPr>
          <w:rFonts w:ascii="Arial" w:hAnsi="Arial" w:cs="Arial"/>
          <w:color w:val="000000"/>
          <w:sz w:val="22"/>
          <w:szCs w:val="22"/>
        </w:rPr>
        <w:t>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Mineral</w:t>
      </w:r>
      <w:r>
        <w:rPr>
          <w:rFonts w:ascii="Arial" w:hAnsi="Arial" w:cs="Arial"/>
          <w:color w:val="000000"/>
          <w:sz w:val="22"/>
          <w:szCs w:val="22"/>
        </w:rPr>
        <w:t> </w:t>
      </w:r>
      <w:r>
        <w:rPr>
          <w:rStyle w:val="highlight"/>
          <w:rFonts w:ascii="Arial" w:hAnsi="Arial" w:cs="Arial"/>
          <w:color w:val="000000"/>
          <w:sz w:val="22"/>
          <w:szCs w:val="22"/>
        </w:rPr>
        <w:t>density</w:t>
      </w:r>
    </w:p>
    <w:p w:rsidR="00E92154" w:rsidRPr="00E87269" w:rsidRDefault="00E92154" w:rsidP="00E87269">
      <w:bookmarkStart w:id="0" w:name="_GoBack"/>
      <w:bookmarkEnd w:id="0"/>
    </w:p>
    <w:sectPr w:rsidR="00E92154" w:rsidRPr="00E8726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rA0MrE0MDexNDE0NDBS0lEKTi0uzszPAykwrAUAmf3BLiwAAAA="/>
  </w:docVars>
  <w:rsids>
    <w:rsidRoot w:val="00766453"/>
    <w:rsid w:val="00185A2B"/>
    <w:rsid w:val="001E562F"/>
    <w:rsid w:val="00766453"/>
    <w:rsid w:val="00E87269"/>
    <w:rsid w:val="00E92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A961C"/>
  <w15:chartTrackingRefBased/>
  <w15:docId w15:val="{318F63D2-DF74-4D7C-AABC-48A56E410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link w:val="Balk3Char"/>
    <w:uiPriority w:val="9"/>
    <w:qFormat/>
    <w:rsid w:val="00E8726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185A2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E87269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E872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185A2B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ighlight">
    <w:name w:val="highlight"/>
    <w:basedOn w:val="VarsaylanParagrafYazTipi"/>
    <w:rsid w:val="00185A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03853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7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052433">
          <w:marLeft w:val="0"/>
          <w:marRight w:val="0"/>
          <w:marTop w:val="432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17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Kaan ORHAN</dc:creator>
  <cp:keywords/>
  <dc:description/>
  <cp:lastModifiedBy>Kaan ORHAN</cp:lastModifiedBy>
  <cp:revision>2</cp:revision>
  <dcterms:created xsi:type="dcterms:W3CDTF">2020-04-09T17:13:00Z</dcterms:created>
  <dcterms:modified xsi:type="dcterms:W3CDTF">2020-04-09T17:13:00Z</dcterms:modified>
</cp:coreProperties>
</file>